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15B2" w:rsidRDefault="00631999" w:rsidP="009E15B2">
      <w:pPr>
        <w:pStyle w:val="NoSpacing"/>
        <w:rPr>
          <w:rFonts w:ascii="Arial" w:hAnsi="Arial" w:cs="Arial"/>
          <w:i/>
          <w:color w:val="333333"/>
          <w:sz w:val="18"/>
          <w:szCs w:val="18"/>
          <w:shd w:val="clear" w:color="auto" w:fill="FFFFFF"/>
        </w:rPr>
      </w:pPr>
      <w:r>
        <w:t>David Jasper</w:t>
      </w:r>
      <w:r w:rsidR="009E15B2">
        <w:t xml:space="preserve">, </w:t>
      </w:r>
      <w:proofErr w:type="gramStart"/>
      <w:r>
        <w:rPr>
          <w:i/>
        </w:rPr>
        <w:t>The</w:t>
      </w:r>
      <w:proofErr w:type="gramEnd"/>
      <w:r>
        <w:rPr>
          <w:i/>
        </w:rPr>
        <w:t xml:space="preserve"> Sacred Community: Art, Sacrament, and the People of God</w:t>
      </w:r>
      <w:r w:rsidR="009E15B2">
        <w:t xml:space="preserve">. </w:t>
      </w:r>
      <w:r>
        <w:t>Waco, TX</w:t>
      </w:r>
      <w:r w:rsidR="009E15B2">
        <w:t>:</w:t>
      </w:r>
      <w:r>
        <w:t xml:space="preserve"> Baylor University Press</w:t>
      </w:r>
      <w:r w:rsidR="009E15B2">
        <w:t>, 2012,</w:t>
      </w:r>
      <w:r>
        <w:t xml:space="preserve"> </w:t>
      </w:r>
      <w:r w:rsidR="009E15B2">
        <w:t>x</w:t>
      </w:r>
      <w:r>
        <w:t xml:space="preserve">ii + </w:t>
      </w:r>
      <w:proofErr w:type="gramStart"/>
      <w:r>
        <w:t>172</w:t>
      </w:r>
      <w:r w:rsidR="009E15B2">
        <w:t>pp.,</w:t>
      </w:r>
      <w:proofErr w:type="gramEnd"/>
      <w:r w:rsidR="009E15B2">
        <w:t xml:space="preserve"> </w:t>
      </w:r>
      <w:r w:rsidR="004D7488">
        <w:t xml:space="preserve">$39.95 (US); </w:t>
      </w:r>
      <w:r w:rsidR="009E15B2">
        <w:rPr>
          <w:rFonts w:ascii="Arial" w:hAnsi="Arial" w:cs="Arial"/>
          <w:color w:val="333333"/>
          <w:sz w:val="18"/>
          <w:szCs w:val="18"/>
          <w:shd w:val="clear" w:color="auto" w:fill="FFFFFF"/>
        </w:rPr>
        <w:t>£</w:t>
      </w:r>
      <w:r w:rsidR="004D7488">
        <w:rPr>
          <w:rFonts w:ascii="Arial" w:hAnsi="Arial" w:cs="Arial"/>
          <w:color w:val="333333"/>
          <w:sz w:val="18"/>
          <w:szCs w:val="18"/>
          <w:shd w:val="clear" w:color="auto" w:fill="FFFFFF"/>
        </w:rPr>
        <w:t>33.50</w:t>
      </w:r>
      <w:r w:rsidR="009E15B2">
        <w:rPr>
          <w:rFonts w:ascii="Arial" w:hAnsi="Arial" w:cs="Arial"/>
          <w:color w:val="333333"/>
          <w:sz w:val="18"/>
          <w:szCs w:val="18"/>
          <w:shd w:val="clear" w:color="auto" w:fill="FFFFFF"/>
        </w:rPr>
        <w:t xml:space="preserve"> </w:t>
      </w:r>
      <w:r w:rsidR="004D7488">
        <w:rPr>
          <w:rFonts w:ascii="Arial" w:hAnsi="Arial" w:cs="Arial"/>
          <w:color w:val="333333"/>
          <w:sz w:val="18"/>
          <w:szCs w:val="18"/>
          <w:shd w:val="clear" w:color="auto" w:fill="FFFFFF"/>
        </w:rPr>
        <w:t>hardcover</w:t>
      </w:r>
      <w:r w:rsidR="00F978B4">
        <w:rPr>
          <w:rFonts w:ascii="Arial" w:hAnsi="Arial" w:cs="Arial"/>
          <w:color w:val="333333"/>
          <w:sz w:val="18"/>
          <w:szCs w:val="18"/>
          <w:shd w:val="clear" w:color="auto" w:fill="FFFFFF"/>
        </w:rPr>
        <w:t xml:space="preserve"> (UK)</w:t>
      </w:r>
      <w:r w:rsidR="004D7488">
        <w:rPr>
          <w:rFonts w:ascii="Arial" w:hAnsi="Arial" w:cs="Arial"/>
          <w:color w:val="333333"/>
          <w:sz w:val="18"/>
          <w:szCs w:val="18"/>
          <w:shd w:val="clear" w:color="auto" w:fill="FFFFFF"/>
        </w:rPr>
        <w:t>.</w:t>
      </w:r>
    </w:p>
    <w:p w:rsidR="00127A71" w:rsidRDefault="00127A71" w:rsidP="009E15B2">
      <w:pPr>
        <w:pStyle w:val="NoSpacing"/>
        <w:rPr>
          <w:rFonts w:ascii="Arial" w:hAnsi="Arial" w:cs="Arial"/>
          <w:i/>
          <w:color w:val="333333"/>
          <w:sz w:val="18"/>
          <w:szCs w:val="18"/>
          <w:shd w:val="clear" w:color="auto" w:fill="FFFFFF"/>
        </w:rPr>
      </w:pPr>
    </w:p>
    <w:p w:rsidR="00E239AC" w:rsidRDefault="00E239AC" w:rsidP="003B65DD">
      <w:pPr>
        <w:pStyle w:val="NoSpacing"/>
      </w:pPr>
    </w:p>
    <w:p w:rsidR="004D7488" w:rsidRDefault="00B10204" w:rsidP="003B65DD">
      <w:pPr>
        <w:pStyle w:val="NoSpacing"/>
      </w:pPr>
      <w:r>
        <w:t xml:space="preserve">In this dense </w:t>
      </w:r>
      <w:r w:rsidR="00C24950">
        <w:t xml:space="preserve">monograph, David Jasper, </w:t>
      </w:r>
      <w:r w:rsidR="00B27BA9">
        <w:t>Professor of Literature and Theology at Glasgow University</w:t>
      </w:r>
      <w:r w:rsidR="00806B57">
        <w:t>,</w:t>
      </w:r>
      <w:r w:rsidR="00B27BA9">
        <w:t xml:space="preserve"> is </w:t>
      </w:r>
      <w:r w:rsidR="00DD0563">
        <w:t>concluding</w:t>
      </w:r>
      <w:r w:rsidR="00704ABB">
        <w:t>,</w:t>
      </w:r>
      <w:r w:rsidR="00DD0563">
        <w:t xml:space="preserve"> </w:t>
      </w:r>
      <w:r w:rsidR="00B27BA9">
        <w:t>his work of “three exercises in theology and the arts”</w:t>
      </w:r>
      <w:r w:rsidR="00B27BA9">
        <w:rPr>
          <w:rStyle w:val="FootnoteReference"/>
        </w:rPr>
        <w:footnoteReference w:id="1"/>
      </w:r>
      <w:r w:rsidR="00B27BA9">
        <w:t xml:space="preserve"> that began with </w:t>
      </w:r>
      <w:r w:rsidR="00B27BA9">
        <w:rPr>
          <w:i/>
        </w:rPr>
        <w:t>The Sacred Desert</w:t>
      </w:r>
      <w:r w:rsidR="00901D06">
        <w:rPr>
          <w:i/>
        </w:rPr>
        <w:t xml:space="preserve"> </w:t>
      </w:r>
      <w:r w:rsidR="00901D06">
        <w:t>(2004)</w:t>
      </w:r>
      <w:r w:rsidR="00B27BA9">
        <w:t xml:space="preserve">, and continued with </w:t>
      </w:r>
      <w:r w:rsidR="00B27BA9">
        <w:rPr>
          <w:i/>
        </w:rPr>
        <w:t>The Sacred Body</w:t>
      </w:r>
      <w:r w:rsidR="00901D06">
        <w:rPr>
          <w:i/>
        </w:rPr>
        <w:t xml:space="preserve"> </w:t>
      </w:r>
      <w:r w:rsidR="00901D06">
        <w:t>(2009)</w:t>
      </w:r>
      <w:r w:rsidR="00B27BA9">
        <w:t>.  With an extensive bibliography and end notes, this book is written in twelve chapters, plus introduction.</w:t>
      </w:r>
    </w:p>
    <w:p w:rsidR="00704ABB" w:rsidRDefault="00704ABB" w:rsidP="003B65DD">
      <w:pPr>
        <w:pStyle w:val="NoSpacing"/>
      </w:pPr>
    </w:p>
    <w:p w:rsidR="00806B57" w:rsidRDefault="00E07446" w:rsidP="00F978B4">
      <w:r>
        <w:t>In the</w:t>
      </w:r>
      <w:r w:rsidR="00F978B4">
        <w:t>se</w:t>
      </w:r>
      <w:r>
        <w:t xml:space="preserve"> twelve chapters, Jasper explores themes of the Bible and Sacred Space, the sacrificial praise of the Eucharist, issues of Evil and Betrayal, Pilgrimage, Repentance, the “Artist and the Mind of God,” (chapter seven), Art and oppression, Friendship, Architecture and finally contemporary society.  This massive variety of themes </w:t>
      </w:r>
      <w:r w:rsidR="00806B57">
        <w:t>might appear</w:t>
      </w:r>
      <w:r>
        <w:t xml:space="preserve"> wide ranging, but Jasper makes some profound connections between seemingly dissonant topics and diverse figures (i.e. connecting the art work of Chinese painter Ding Fang and German painter/sculptor Anselm Kiefer, </w:t>
      </w:r>
      <w:r w:rsidR="00F978B4">
        <w:t>with</w:t>
      </w:r>
      <w:r>
        <w:t xml:space="preserve"> Nigerian poet </w:t>
      </w:r>
      <w:proofErr w:type="spellStart"/>
      <w:r>
        <w:t>Wole</w:t>
      </w:r>
      <w:proofErr w:type="spellEnd"/>
      <w:r>
        <w:t xml:space="preserve"> Soyinka in chapter 9, “Art and communities of Oppression”). </w:t>
      </w:r>
      <w:r w:rsidR="00F978B4">
        <w:t xml:space="preserve"> </w:t>
      </w:r>
    </w:p>
    <w:p w:rsidR="00F978B4" w:rsidRDefault="00F978B4" w:rsidP="00F978B4">
      <w:r>
        <w:t xml:space="preserve">The high point of the book </w:t>
      </w:r>
      <w:r w:rsidR="00E07446">
        <w:t xml:space="preserve">is in chapter 11, “The Church and the Sacred Community in Contemporary Society.”  </w:t>
      </w:r>
      <w:r w:rsidR="00806B57">
        <w:t>This is not</w:t>
      </w:r>
      <w:r w:rsidR="00E07446">
        <w:t xml:space="preserve"> so much about the sacred community’s role </w:t>
      </w:r>
      <w:r w:rsidR="00E07446" w:rsidRPr="00545DF4">
        <w:rPr>
          <w:i/>
        </w:rPr>
        <w:t>in</w:t>
      </w:r>
      <w:r w:rsidR="00E07446">
        <w:t xml:space="preserve"> society as </w:t>
      </w:r>
      <w:r w:rsidR="00806B57">
        <w:t>it is</w:t>
      </w:r>
      <w:r w:rsidR="00E07446">
        <w:t xml:space="preserve"> the role of the artist within the sacred community </w:t>
      </w:r>
      <w:r w:rsidR="00E07446" w:rsidRPr="00545DF4">
        <w:rPr>
          <w:i/>
        </w:rPr>
        <w:t>of</w:t>
      </w:r>
      <w:r w:rsidR="00E07446">
        <w:t xml:space="preserve"> this contemporary society, with its key point being that “the poet, the musician and the artist are never more needed by the community that is the church than today, the church whose religion so often can become the place of … ‘poor little talkative Christianity.’”</w:t>
      </w:r>
      <w:r w:rsidR="00E07446">
        <w:rPr>
          <w:rStyle w:val="FootnoteReference"/>
        </w:rPr>
        <w:footnoteReference w:id="2"/>
      </w:r>
      <w:r w:rsidR="00E07446">
        <w:t xml:space="preserve">  This chapter is perhaps the most beautiful, as Jasper plays with images of light and shadow, voice and silence, and the pursuit of each within its opposite.</w:t>
      </w:r>
      <w:r>
        <w:t xml:space="preserve">  Throughout,</w:t>
      </w:r>
      <w:r>
        <w:t xml:space="preserve"> Jasper offers an interesting take on the intersection of community, art and sacrament</w:t>
      </w:r>
      <w:r w:rsidR="00806B57">
        <w:t xml:space="preserve"> centring</w:t>
      </w:r>
      <w:r>
        <w:t xml:space="preserve"> the life of the body of faith upon the Sanctus – the angelic hymn from Isaiah 6, and a climactic mo</w:t>
      </w:r>
      <w:r w:rsidR="00806B57">
        <w:t>ment in</w:t>
      </w:r>
      <w:r>
        <w:t xml:space="preserve"> Eucharistic liturgies.</w:t>
      </w:r>
    </w:p>
    <w:p w:rsidR="00704ABB" w:rsidRDefault="00B10204" w:rsidP="003B65DD">
      <w:pPr>
        <w:pStyle w:val="NoSpacing"/>
      </w:pPr>
      <w:r>
        <w:t xml:space="preserve">While overall I think this book to be </w:t>
      </w:r>
      <w:r w:rsidR="00F978B4">
        <w:t xml:space="preserve">edifying, </w:t>
      </w:r>
      <w:r w:rsidR="00DE78BF">
        <w:t>I find one significant challenge</w:t>
      </w:r>
      <w:r>
        <w:t xml:space="preserve"> with it.  Given that t</w:t>
      </w:r>
      <w:r w:rsidR="009225D2">
        <w:t xml:space="preserve">he purpose of this project </w:t>
      </w:r>
      <w:r>
        <w:t>is</w:t>
      </w:r>
      <w:r w:rsidR="009225D2">
        <w:t xml:space="preserve"> one in which “the nature of the sacred community </w:t>
      </w:r>
      <w:proofErr w:type="gramStart"/>
      <w:r w:rsidR="009225D2">
        <w:t>be</w:t>
      </w:r>
      <w:proofErr w:type="gramEnd"/>
      <w:r w:rsidR="009225D2">
        <w:t xml:space="preserve"> given consideration,”</w:t>
      </w:r>
      <w:r w:rsidR="009225D2">
        <w:rPr>
          <w:rStyle w:val="FootnoteReference"/>
        </w:rPr>
        <w:footnoteReference w:id="3"/>
      </w:r>
      <w:r w:rsidR="009225D2">
        <w:t xml:space="preserve"> one would expect a style of prose t</w:t>
      </w:r>
      <w:r w:rsidR="00F978B4">
        <w:t>hat would be mor</w:t>
      </w:r>
      <w:r w:rsidR="00442BEC">
        <w:t>e accessible to</w:t>
      </w:r>
      <w:r w:rsidR="00E45E38">
        <w:t xml:space="preserve"> that community, especially as to “think liturgically”</w:t>
      </w:r>
      <w:r w:rsidR="00442BEC">
        <w:t xml:space="preserve"> is </w:t>
      </w:r>
      <w:r w:rsidR="00E45E38">
        <w:t>to “think as a part of a …community</w:t>
      </w:r>
      <w:r w:rsidR="00442BEC">
        <w:t>,</w:t>
      </w:r>
      <w:r w:rsidR="00E45E38">
        <w:t>”</w:t>
      </w:r>
      <w:r w:rsidR="00442BEC">
        <w:t xml:space="preserve"> which is his stated goal.</w:t>
      </w:r>
      <w:r w:rsidR="00E45E38" w:rsidRPr="00E45E38">
        <w:rPr>
          <w:rStyle w:val="FootnoteTextChar"/>
        </w:rPr>
        <w:t xml:space="preserve"> </w:t>
      </w:r>
      <w:r w:rsidR="00E45E38">
        <w:rPr>
          <w:rStyle w:val="FootnoteReference"/>
        </w:rPr>
        <w:footnoteReference w:id="4"/>
      </w:r>
      <w:r w:rsidR="00E45E38">
        <w:t xml:space="preserve"> </w:t>
      </w:r>
      <w:r w:rsidR="00700783">
        <w:t xml:space="preserve">  Jasper takes on a style that is </w:t>
      </w:r>
      <w:r w:rsidR="00E45E38">
        <w:t xml:space="preserve">at times </w:t>
      </w:r>
      <w:r w:rsidR="00700783">
        <w:t xml:space="preserve">convoluted, </w:t>
      </w:r>
      <w:r w:rsidR="00E45E38">
        <w:t xml:space="preserve">and often </w:t>
      </w:r>
      <w:r w:rsidR="00700783">
        <w:t xml:space="preserve">rife with parenthetical phrases that </w:t>
      </w:r>
      <w:r w:rsidR="00E45E38">
        <w:t>can</w:t>
      </w:r>
      <w:r w:rsidR="00700783">
        <w:t xml:space="preserve"> require the reader to repeat a given sentence multiple times</w:t>
      </w:r>
      <w:r w:rsidR="00E45E38">
        <w:t xml:space="preserve"> in order to get the </w:t>
      </w:r>
      <w:r w:rsidR="00F978B4">
        <w:t>gist</w:t>
      </w:r>
      <w:r w:rsidR="00700783">
        <w:t>.</w:t>
      </w:r>
      <w:r w:rsidR="00E45E38">
        <w:rPr>
          <w:rStyle w:val="FootnoteReference"/>
        </w:rPr>
        <w:footnoteReference w:id="5"/>
      </w:r>
      <w:r w:rsidR="00700783">
        <w:t xml:space="preserve">  As an example, Jasper writes, </w:t>
      </w:r>
    </w:p>
    <w:p w:rsidR="006A1B86" w:rsidRDefault="006A1B86" w:rsidP="003B65DD">
      <w:pPr>
        <w:pStyle w:val="NoSpacing"/>
      </w:pPr>
    </w:p>
    <w:p w:rsidR="006A1B86" w:rsidRDefault="006A1B86" w:rsidP="006A1B86">
      <w:pPr>
        <w:pStyle w:val="Quote"/>
        <w:ind w:left="720" w:right="1440"/>
        <w:jc w:val="both"/>
      </w:pPr>
      <w:r>
        <w:t xml:space="preserve">Only when we begin to understand each other (an understanding that allows the possibility, and only the possibility, that this writing may eventually evoke understanding as meaning) does that action (liturgy is at its heart, and most deeply a commitment to “doing” in remembrance lest we forget ourselves and </w:t>
      </w:r>
      <w:r>
        <w:lastRenderedPageBreak/>
        <w:t>each other) provoke my sense of being-here (in myself) into becoming a sense (more deeply felt and known) of being-toward.</w:t>
      </w:r>
      <w:r>
        <w:rPr>
          <w:rStyle w:val="FootnoteReference"/>
        </w:rPr>
        <w:footnoteReference w:id="6"/>
      </w:r>
    </w:p>
    <w:p w:rsidR="006A1B86" w:rsidRDefault="00806B57" w:rsidP="006A1B86">
      <w:r>
        <w:t>This</w:t>
      </w:r>
      <w:r w:rsidR="006A1B86">
        <w:t xml:space="preserve"> parenthetic style is</w:t>
      </w:r>
      <w:r w:rsidR="00F978B4">
        <w:t xml:space="preserve"> most evident</w:t>
      </w:r>
      <w:r w:rsidR="006A1B86">
        <w:t xml:space="preserve"> in Chapter 1, where Jasper appears to be experimenting with a </w:t>
      </w:r>
      <w:r w:rsidR="00E45E38">
        <w:t>writing</w:t>
      </w:r>
      <w:r w:rsidR="006A1B86">
        <w:t xml:space="preserve"> style that borders on stream-of-consciousness.  The </w:t>
      </w:r>
      <w:r w:rsidR="00E45E38">
        <w:t>prose</w:t>
      </w:r>
      <w:r w:rsidR="006A1B86">
        <w:t xml:space="preserve"> tighten</w:t>
      </w:r>
      <w:r>
        <w:t>s</w:t>
      </w:r>
      <w:r w:rsidR="006A1B86">
        <w:t xml:space="preserve"> up in later chapters, but </w:t>
      </w:r>
      <w:r w:rsidR="00F978B4">
        <w:t>the style</w:t>
      </w:r>
      <w:r w:rsidR="006A1B86">
        <w:t xml:space="preserve"> still often stands as a barrier to understanding.  </w:t>
      </w:r>
    </w:p>
    <w:p w:rsidR="0068174D" w:rsidRPr="00262133" w:rsidRDefault="004D7488" w:rsidP="003B65DD">
      <w:pPr>
        <w:pStyle w:val="NoSpacing"/>
      </w:pPr>
      <w:r>
        <w:rPr>
          <w:i/>
        </w:rPr>
        <w:t>The Sacred Community</w:t>
      </w:r>
      <w:r w:rsidR="00262133">
        <w:t>, will be a satisfying read for those</w:t>
      </w:r>
      <w:r w:rsidR="00112DDB">
        <w:t xml:space="preserve"> who are not seeking a formally academic work, </w:t>
      </w:r>
      <w:r w:rsidR="00A809DB">
        <w:t xml:space="preserve">but seek a more contemplative and free flowing approach to the place of art and sacrament within the </w:t>
      </w:r>
      <w:r w:rsidR="00DE78BF">
        <w:t>Christian community</w:t>
      </w:r>
      <w:r w:rsidR="00A809DB">
        <w:t xml:space="preserve">.  The moments of insight and beauty outweigh the difficult prose, but </w:t>
      </w:r>
      <w:r w:rsidR="00112DDB">
        <w:t xml:space="preserve">nevertheless </w:t>
      </w:r>
      <w:r w:rsidR="00A809DB">
        <w:t xml:space="preserve">the reader must </w:t>
      </w:r>
      <w:r w:rsidR="00112DDB">
        <w:t>ha</w:t>
      </w:r>
      <w:r w:rsidR="00A809DB">
        <w:t xml:space="preserve">ve patience in order to </w:t>
      </w:r>
      <w:r w:rsidR="00DE78BF">
        <w:t>extract the full meaning of the text</w:t>
      </w:r>
      <w:r w:rsidR="00A809DB">
        <w:t>.</w:t>
      </w:r>
      <w:bookmarkStart w:id="0" w:name="_GoBack"/>
      <w:bookmarkEnd w:id="0"/>
    </w:p>
    <w:p w:rsidR="00E239AC" w:rsidRDefault="00E239AC" w:rsidP="003B65DD">
      <w:pPr>
        <w:pStyle w:val="NoSpacing"/>
      </w:pPr>
    </w:p>
    <w:p w:rsidR="003B65DD" w:rsidRDefault="003B65DD" w:rsidP="003B65DD">
      <w:pPr>
        <w:pStyle w:val="NoSpacing"/>
      </w:pPr>
    </w:p>
    <w:p w:rsidR="007D19B1" w:rsidRDefault="007D19B1" w:rsidP="003B65DD">
      <w:pPr>
        <w:pStyle w:val="NoSpacing"/>
      </w:pPr>
      <w:r>
        <w:t>Reviewer: Thomas C. Brauer</w:t>
      </w:r>
    </w:p>
    <w:p w:rsidR="003B65DD" w:rsidRPr="003B65DD" w:rsidRDefault="003B65DD" w:rsidP="003B65DD">
      <w:pPr>
        <w:pStyle w:val="NoSpacing"/>
      </w:pPr>
    </w:p>
    <w:sectPr w:rsidR="003B65DD" w:rsidRPr="003B65DD">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2D0F" w:rsidRDefault="00EB2D0F" w:rsidP="00B27BA9">
      <w:pPr>
        <w:spacing w:after="0" w:line="240" w:lineRule="auto"/>
      </w:pPr>
      <w:r>
        <w:separator/>
      </w:r>
    </w:p>
  </w:endnote>
  <w:endnote w:type="continuationSeparator" w:id="0">
    <w:p w:rsidR="00EB2D0F" w:rsidRDefault="00EB2D0F" w:rsidP="00B27B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2D0F" w:rsidRDefault="00EB2D0F" w:rsidP="00B27BA9">
      <w:pPr>
        <w:spacing w:after="0" w:line="240" w:lineRule="auto"/>
      </w:pPr>
      <w:r>
        <w:separator/>
      </w:r>
    </w:p>
  </w:footnote>
  <w:footnote w:type="continuationSeparator" w:id="0">
    <w:p w:rsidR="00EB2D0F" w:rsidRDefault="00EB2D0F" w:rsidP="00B27BA9">
      <w:pPr>
        <w:spacing w:after="0" w:line="240" w:lineRule="auto"/>
      </w:pPr>
      <w:r>
        <w:continuationSeparator/>
      </w:r>
    </w:p>
  </w:footnote>
  <w:footnote w:id="1">
    <w:p w:rsidR="00B27BA9" w:rsidRDefault="00B27BA9">
      <w:pPr>
        <w:pStyle w:val="FootnoteText"/>
      </w:pPr>
      <w:r>
        <w:rPr>
          <w:rStyle w:val="FootnoteReference"/>
        </w:rPr>
        <w:footnoteRef/>
      </w:r>
      <w:r>
        <w:t xml:space="preserve"> xi</w:t>
      </w:r>
    </w:p>
  </w:footnote>
  <w:footnote w:id="2">
    <w:p w:rsidR="00E07446" w:rsidRDefault="00E07446" w:rsidP="00E07446">
      <w:pPr>
        <w:pStyle w:val="FootnoteText"/>
      </w:pPr>
      <w:r>
        <w:rPr>
          <w:rStyle w:val="FootnoteReference"/>
        </w:rPr>
        <w:footnoteRef/>
      </w:r>
      <w:r>
        <w:t xml:space="preserve"> 159</w:t>
      </w:r>
    </w:p>
  </w:footnote>
  <w:footnote w:id="3">
    <w:p w:rsidR="009225D2" w:rsidRDefault="009225D2">
      <w:pPr>
        <w:pStyle w:val="FootnoteText"/>
      </w:pPr>
      <w:r>
        <w:rPr>
          <w:rStyle w:val="FootnoteReference"/>
        </w:rPr>
        <w:footnoteRef/>
      </w:r>
      <w:r>
        <w:t xml:space="preserve"> 2</w:t>
      </w:r>
    </w:p>
  </w:footnote>
  <w:footnote w:id="4">
    <w:p w:rsidR="00E45E38" w:rsidRDefault="00E45E38" w:rsidP="00E45E38">
      <w:pPr>
        <w:pStyle w:val="FootnoteText"/>
      </w:pPr>
      <w:r>
        <w:rPr>
          <w:rStyle w:val="FootnoteReference"/>
        </w:rPr>
        <w:footnoteRef/>
      </w:r>
      <w:r>
        <w:t xml:space="preserve"> 3</w:t>
      </w:r>
    </w:p>
  </w:footnote>
  <w:footnote w:id="5">
    <w:p w:rsidR="00E45E38" w:rsidRDefault="00E45E38">
      <w:pPr>
        <w:pStyle w:val="FootnoteText"/>
      </w:pPr>
      <w:r>
        <w:rPr>
          <w:rStyle w:val="FootnoteReference"/>
        </w:rPr>
        <w:footnoteRef/>
      </w:r>
      <w:r>
        <w:t xml:space="preserve"> There is even a blurb on the back cover from the Church Times that essentially says the same thing – albeit in gentler terms.</w:t>
      </w:r>
    </w:p>
  </w:footnote>
  <w:footnote w:id="6">
    <w:p w:rsidR="006A1B86" w:rsidRDefault="006A1B86">
      <w:pPr>
        <w:pStyle w:val="FootnoteText"/>
      </w:pPr>
      <w:r>
        <w:rPr>
          <w:rStyle w:val="FootnoteReference"/>
        </w:rPr>
        <w:footnoteRef/>
      </w:r>
      <w:r>
        <w:t xml:space="preserve"> 10, 11</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15B2"/>
    <w:rsid w:val="00012048"/>
    <w:rsid w:val="00015FB8"/>
    <w:rsid w:val="000A1C33"/>
    <w:rsid w:val="000C796D"/>
    <w:rsid w:val="000E1527"/>
    <w:rsid w:val="00112DDB"/>
    <w:rsid w:val="00127A71"/>
    <w:rsid w:val="0015439A"/>
    <w:rsid w:val="00167CB1"/>
    <w:rsid w:val="001E3F07"/>
    <w:rsid w:val="00221D85"/>
    <w:rsid w:val="00262133"/>
    <w:rsid w:val="00281BB1"/>
    <w:rsid w:val="00287DF6"/>
    <w:rsid w:val="002C04A8"/>
    <w:rsid w:val="002C064B"/>
    <w:rsid w:val="002E39E5"/>
    <w:rsid w:val="003377BF"/>
    <w:rsid w:val="003460EA"/>
    <w:rsid w:val="00386FE7"/>
    <w:rsid w:val="003A03E6"/>
    <w:rsid w:val="003B65DD"/>
    <w:rsid w:val="003F131E"/>
    <w:rsid w:val="004055D3"/>
    <w:rsid w:val="00442BEC"/>
    <w:rsid w:val="0044499C"/>
    <w:rsid w:val="004D7488"/>
    <w:rsid w:val="0053572D"/>
    <w:rsid w:val="00545DF4"/>
    <w:rsid w:val="005B6D47"/>
    <w:rsid w:val="006147BC"/>
    <w:rsid w:val="00631999"/>
    <w:rsid w:val="0068174D"/>
    <w:rsid w:val="006A1B86"/>
    <w:rsid w:val="006E2DCB"/>
    <w:rsid w:val="006F2F16"/>
    <w:rsid w:val="00700783"/>
    <w:rsid w:val="00704ABB"/>
    <w:rsid w:val="007D19B1"/>
    <w:rsid w:val="00806B57"/>
    <w:rsid w:val="00881F6C"/>
    <w:rsid w:val="00895FAF"/>
    <w:rsid w:val="00901D06"/>
    <w:rsid w:val="009225D2"/>
    <w:rsid w:val="009E15B2"/>
    <w:rsid w:val="00A002BA"/>
    <w:rsid w:val="00A11190"/>
    <w:rsid w:val="00A12C9D"/>
    <w:rsid w:val="00A15680"/>
    <w:rsid w:val="00A204D4"/>
    <w:rsid w:val="00A21489"/>
    <w:rsid w:val="00A4414C"/>
    <w:rsid w:val="00A809DB"/>
    <w:rsid w:val="00B10204"/>
    <w:rsid w:val="00B11F8E"/>
    <w:rsid w:val="00B27BA9"/>
    <w:rsid w:val="00BB433B"/>
    <w:rsid w:val="00BF4204"/>
    <w:rsid w:val="00C2193C"/>
    <w:rsid w:val="00C24950"/>
    <w:rsid w:val="00C45185"/>
    <w:rsid w:val="00CE22F2"/>
    <w:rsid w:val="00CF3D00"/>
    <w:rsid w:val="00D66FB4"/>
    <w:rsid w:val="00DD0563"/>
    <w:rsid w:val="00DE78BF"/>
    <w:rsid w:val="00E07446"/>
    <w:rsid w:val="00E239AC"/>
    <w:rsid w:val="00E37D47"/>
    <w:rsid w:val="00E45E38"/>
    <w:rsid w:val="00E50E1C"/>
    <w:rsid w:val="00E5736D"/>
    <w:rsid w:val="00EB2D0F"/>
    <w:rsid w:val="00EC1977"/>
    <w:rsid w:val="00F978B4"/>
    <w:rsid w:val="00FF793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E15B2"/>
    <w:pPr>
      <w:spacing w:after="0" w:line="240" w:lineRule="auto"/>
    </w:pPr>
  </w:style>
  <w:style w:type="paragraph" w:styleId="FootnoteText">
    <w:name w:val="footnote text"/>
    <w:basedOn w:val="Normal"/>
    <w:link w:val="FootnoteTextChar"/>
    <w:uiPriority w:val="99"/>
    <w:semiHidden/>
    <w:unhideWhenUsed/>
    <w:rsid w:val="00B27BA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27BA9"/>
    <w:rPr>
      <w:sz w:val="20"/>
      <w:szCs w:val="20"/>
    </w:rPr>
  </w:style>
  <w:style w:type="character" w:styleId="FootnoteReference">
    <w:name w:val="footnote reference"/>
    <w:basedOn w:val="DefaultParagraphFont"/>
    <w:uiPriority w:val="99"/>
    <w:semiHidden/>
    <w:unhideWhenUsed/>
    <w:rsid w:val="00B27BA9"/>
    <w:rPr>
      <w:vertAlign w:val="superscript"/>
    </w:rPr>
  </w:style>
  <w:style w:type="paragraph" w:styleId="Quote">
    <w:name w:val="Quote"/>
    <w:basedOn w:val="Normal"/>
    <w:next w:val="Normal"/>
    <w:link w:val="QuoteChar"/>
    <w:uiPriority w:val="29"/>
    <w:qFormat/>
    <w:rsid w:val="006A1B86"/>
    <w:rPr>
      <w:i/>
      <w:iCs/>
      <w:color w:val="000000" w:themeColor="text1"/>
    </w:rPr>
  </w:style>
  <w:style w:type="character" w:customStyle="1" w:styleId="QuoteChar">
    <w:name w:val="Quote Char"/>
    <w:basedOn w:val="DefaultParagraphFont"/>
    <w:link w:val="Quote"/>
    <w:uiPriority w:val="29"/>
    <w:rsid w:val="006A1B86"/>
    <w:rPr>
      <w:i/>
      <w:iCs/>
      <w:color w:val="000000" w:themeColor="tex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E15B2"/>
    <w:pPr>
      <w:spacing w:after="0" w:line="240" w:lineRule="auto"/>
    </w:pPr>
  </w:style>
  <w:style w:type="paragraph" w:styleId="FootnoteText">
    <w:name w:val="footnote text"/>
    <w:basedOn w:val="Normal"/>
    <w:link w:val="FootnoteTextChar"/>
    <w:uiPriority w:val="99"/>
    <w:semiHidden/>
    <w:unhideWhenUsed/>
    <w:rsid w:val="00B27BA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27BA9"/>
    <w:rPr>
      <w:sz w:val="20"/>
      <w:szCs w:val="20"/>
    </w:rPr>
  </w:style>
  <w:style w:type="character" w:styleId="FootnoteReference">
    <w:name w:val="footnote reference"/>
    <w:basedOn w:val="DefaultParagraphFont"/>
    <w:uiPriority w:val="99"/>
    <w:semiHidden/>
    <w:unhideWhenUsed/>
    <w:rsid w:val="00B27BA9"/>
    <w:rPr>
      <w:vertAlign w:val="superscript"/>
    </w:rPr>
  </w:style>
  <w:style w:type="paragraph" w:styleId="Quote">
    <w:name w:val="Quote"/>
    <w:basedOn w:val="Normal"/>
    <w:next w:val="Normal"/>
    <w:link w:val="QuoteChar"/>
    <w:uiPriority w:val="29"/>
    <w:qFormat/>
    <w:rsid w:val="006A1B86"/>
    <w:rPr>
      <w:i/>
      <w:iCs/>
      <w:color w:val="000000" w:themeColor="text1"/>
    </w:rPr>
  </w:style>
  <w:style w:type="character" w:customStyle="1" w:styleId="QuoteChar">
    <w:name w:val="Quote Char"/>
    <w:basedOn w:val="DefaultParagraphFont"/>
    <w:link w:val="Quote"/>
    <w:uiPriority w:val="29"/>
    <w:rsid w:val="006A1B86"/>
    <w:rPr>
      <w:i/>
      <w:iCs/>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243A3DB6-32B2-4432-8038-3B423C599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Pages>
  <Words>570</Words>
  <Characters>3250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 Thomas C. Brauer</dc:creator>
  <cp:lastModifiedBy>Rev. Thomas C. Brauer</cp:lastModifiedBy>
  <cp:revision>6</cp:revision>
  <dcterms:created xsi:type="dcterms:W3CDTF">2014-04-24T18:03:00Z</dcterms:created>
  <dcterms:modified xsi:type="dcterms:W3CDTF">2014-04-24T18:45:00Z</dcterms:modified>
</cp:coreProperties>
</file>